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73.0" w:type="dxa"/>
        <w:jc w:val="left"/>
        <w:tblInd w:w="-284.0" w:type="dxa"/>
        <w:tblLayout w:type="fixed"/>
        <w:tblLook w:val="0000"/>
      </w:tblPr>
      <w:tblGrid>
        <w:gridCol w:w="8931"/>
        <w:gridCol w:w="2119"/>
        <w:gridCol w:w="23"/>
        <w:tblGridChange w:id="0">
          <w:tblGrid>
            <w:gridCol w:w="8931"/>
            <w:gridCol w:w="2119"/>
            <w:gridCol w:w="23"/>
          </w:tblGrid>
        </w:tblGridChange>
      </w:tblGrid>
      <w:tr>
        <w:trPr>
          <w:cantSplit w:val="0"/>
          <w:trHeight w:val="88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ind w:hanging="28"/>
              <w:rPr/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Пресс-релиз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1559"/>
              </w:tabs>
              <w:spacing w:before="220" w:line="250" w:lineRule="auto"/>
              <w:ind w:right="569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Октябрь 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0" w:hRule="atLeast"/>
          <w:tblHeader w:val="0"/>
        </w:trPr>
        <w:tc>
          <w:tcPr>
            <w:tcMar>
              <w:top w:w="0.0" w:type="dxa"/>
            </w:tcMar>
          </w:tcPr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Международная выставка потребительских товаров</w:t>
            </w:r>
          </w:p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International Commodity Fair 2022</w:t>
            </w:r>
          </w:p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Павильон № 8, ЦВК «Экспоцентр», Москва</w:t>
            </w:r>
          </w:p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 – 26 октября 2022</w:t>
            </w:r>
          </w:p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0"/>
                </w:rPr>
                <w:t xml:space="preserve">www.icf-expo.ru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</w:tcMar>
          </w:tcPr>
          <w:p w:rsidR="00000000" w:rsidDel="00000000" w:rsidP="00000000" w:rsidRDefault="00000000" w:rsidRPr="00000000" w14:paraId="0000000A">
            <w:pPr>
              <w:tabs>
                <w:tab w:val="left" w:pos="567"/>
              </w:tabs>
              <w:spacing w:before="70" w:line="240" w:lineRule="auto"/>
              <w:rPr>
                <w:color w:val="ff0000"/>
                <w:sz w:val="15"/>
                <w:szCs w:val="15"/>
              </w:rPr>
            </w:pPr>
            <w:r w:rsidDel="00000000" w:rsidR="00000000" w:rsidRPr="00000000">
              <w:rPr>
                <w:color w:val="0000ff"/>
                <w:sz w:val="15"/>
                <w:szCs w:val="15"/>
                <w:u w:val="single"/>
                <w:rtl w:val="0"/>
              </w:rPr>
              <w:t xml:space="preserve">info@icf-expo.ru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30j0zll" w:id="0"/>
          <w:bookmarkEnd w:id="0"/>
          <w:bookmarkStart w:colFirst="0" w:colLast="0" w:name="bookmark=id.gjdgxs" w:id="1"/>
          <w:bookmarkEnd w:id="1"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40"/>
                <w:tab w:val="left" w:pos="1928"/>
                <w:tab w:val="left" w:pos="2268"/>
              </w:tabs>
              <w:spacing w:line="240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color w:val="000000"/>
                <w:sz w:val="15"/>
                <w:szCs w:val="15"/>
                <w:rtl w:val="0"/>
              </w:rPr>
              <w:t xml:space="preserve">Tel.</w:t>
              <w:tab/>
            </w:r>
            <w:bookmarkStart w:colFirst="0" w:colLast="0" w:name="bookmark=id.1fob9te" w:id="2"/>
            <w:bookmarkEnd w:id="2"/>
            <w:bookmarkStart w:colFirst="0" w:colLast="0" w:name="bookmark=id.3znysh7" w:id="3"/>
            <w:bookmarkEnd w:id="3"/>
            <w:r w:rsidDel="00000000" w:rsidR="00000000" w:rsidRPr="00000000">
              <w:rPr>
                <w:color w:val="000000"/>
                <w:sz w:val="15"/>
                <w:szCs w:val="15"/>
                <w:rtl w:val="0"/>
              </w:rPr>
              <w:t xml:space="preserve">+7 495 649 69 11, доб. 121</w:t>
            </w:r>
          </w:p>
          <w:bookmarkStart w:colFirst="0" w:colLast="0" w:name="bookmark=id.2et92p0" w:id="4"/>
          <w:bookmarkEnd w:id="4"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pos="9639"/>
              </w:tabs>
              <w:spacing w:line="240" w:lineRule="auto"/>
              <w:rPr>
                <w:color w:val="000000"/>
                <w:sz w:val="15"/>
                <w:szCs w:val="15"/>
              </w:rPr>
            </w:pPr>
            <w:hyperlink r:id="rId8">
              <w:r w:rsidDel="00000000" w:rsidR="00000000" w:rsidRPr="00000000">
                <w:rPr>
                  <w:color w:val="0000ff"/>
                  <w:sz w:val="15"/>
                  <w:szCs w:val="15"/>
                  <w:u w:val="single"/>
                  <w:rtl w:val="0"/>
                </w:rPr>
                <w:t xml:space="preserve">www.icf-expo.ru</w:t>
              </w:r>
            </w:hyperlink>
            <w:r w:rsidDel="00000000" w:rsidR="00000000" w:rsidRPr="00000000">
              <w:rPr>
                <w:color w:val="000000"/>
                <w:sz w:val="15"/>
                <w:szCs w:val="1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pos="9639"/>
              </w:tabs>
              <w:spacing w:line="240" w:lineRule="auto"/>
              <w:rPr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color w:val="000000"/>
                <w:sz w:val="15"/>
                <w:szCs w:val="15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pos="9639"/>
              </w:tabs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bottom w:color="000000" w:space="0" w:sz="0" w:val="nil"/>
            </w:tcBorders>
            <w:tcMar>
              <w:top w:w="0.0" w:type="dxa"/>
            </w:tcMar>
          </w:tcPr>
          <w:p w:rsidR="00000000" w:rsidDel="00000000" w:rsidP="00000000" w:rsidRDefault="00000000" w:rsidRPr="00000000" w14:paraId="0000001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br w:type="textWrapping"/>
              <w:t xml:space="preserve">Бизнес между Россией и Китаем: так ли перспективен, как говорят?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Если коротко, то – да. Глобально говоря, товарооборот между Россией и Китаем вырос на 31,4% и уже сейчас, за неполный год, составил 117 млрд долл. США.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Такие цифры были озвучены во время открытия Бренд-Зоны китайских предприятий 24 - 25 октября в рамках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Международной выставки потребительских товаров </w:t>
            </w:r>
            <w:hyperlink r:id="rId9">
              <w:r w:rsidDel="00000000" w:rsidR="00000000" w:rsidRPr="00000000">
                <w:rPr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International Commodity Fair 2022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, которая проходит в ЦВК «Экспоцентр» в Москве. Производители, поставщики, селлеры и руководители профильных организаций, включая представителей органов власти, обсудили вызовы и перспективы торговых взаимоотношений между Россией и Китаем в сложившихся геополитических и экономических условиях.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sz w:val="20"/>
                <w:szCs w:val="20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Мероприятие организовано при содействии Министерства коммерции КНР, Департамента развития торговли, Китайской торговой палаты по импорту и экспорту машинно-технической продукции и электроники и торговых комитетов провинций Китая. А также при участии Торгово-промышленной палаты России.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Торговые вызовы в цифрах и трендах: экспорт технологичной продукции в Россию вырос на 50%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выставке приняли участие свыше 200 китайских брендов, включая технологичные компании и производителей бытовой техники и потребительской электроники. Как заявил в своей приветственной речи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министр экономики и коммерции Посольства КНР в РФ г-н Лю Сюэсун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впервые в истории объем российско-китайской торговли преодолел отметку в $100 млрд за неполные первые три квартала года, достигнув $117 млрд, что на 31,4% больше по сравнению с аналогичным периодом в 2021 году. И это несмотря на разного рода ограничения бизнеса в связи с пандемией, а также геополитические события.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частности, китайский экспорт технологичной продукции в Россию вырос на 50%, в том числе стремительный рост показал экспорт кондиционеров и бытовой техники. Например, в последние годы в России резко выросли продажи бытовой техники известных китайских брендов – таких, как Haier, Huawei, Xiaomi и др.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 самой выставке в этом году посетителей радуют экспозиции новейших моделей роботов-пылесосов, а также аналогов популярных фенов Dyson, которые демонстрирует компания Dreame Technologies. Невозможно пройти мимо экспозиции бытовой техники с ярким дизайном от Cixi Gstar Electric Appliance и робота-мойщика окон, представленного компанией AVALON. 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Кстати, любопытно, что в отличие от китайского рынка последний пока не очень распространен в России. Не исключено, что благодаря широкой презентации возможностей этого гаджета на выставке российский потребитель оценит его функциональность.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Также на площадке представлено несколько сервисных компаний, готовых оказать содействие бизнесу в продвижении товаров и работой с Китаем – b2basket, Maed, банк Точка, MarketPapa, JoomPro. 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То, что пандемийные годы и новые вызовы в текущем году отразились на распределении сил на внутреннем рынке России, отметили все эксперты, выступая как в рамках торжественной части, так и затем в деловой программе. 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этом смысле актуально прозвучали слова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вице-президента Торгово-промышленной палаты России Владимира Падалко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о том, что сам факт проведения ежегодной выставки с Китаем имеет важное положительное значение для рынка. С одной стороны, мероприятие повышает репутацию китайских брендов, тут же стимулируя спрос российского потребителя на их продукцию. С другой стороны, происходит мотивация китайских производителей к новаторству. Все вместе работает на укрепление сотрудничества китайских и российских предприятий, уверен эксперт.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Воодушевление отечественного бизнеса на внутреннем рынке, чему способствовал уход из России ведущих европейских брендов, отметил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генеральный менеджер Galanz Россия Станислав Пугачев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 И привел в пример возросший интерес к производству бытовой техники со стороны многих игроков после того, как эту нишу освободил один из известных немецких производителей посудомоечных машин. «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Освободилось почти 40% рынка, и многие компании планируют развиваться в этом направлении именно в сотрудничестве с Китаем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», - прокомментировал представитель Galanz. 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Про шаги и ошибки в бизнесе: переходите на юани и просчитывайте риски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Подробно обсудить вопросы того, как эффективно выстраивать бизнес в текущих условиях, и каким образом маркетплейсы помогают увеличивать продажи, гости выставки смогли здесь же, в ходе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Российско-Китайского форума «Бизнес с Китаем: маркетплейсы и новые реалии»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который состоялся 25 октября. 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Большой отклик у слушателей вызвал рассказ о запуске с нуля направления «Товары для дома», которым поделился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руководитель бизнес-группы «Товары длительного пользования» в маркетплейсе СберМегаМаркет Иван Бугай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 Под его руководством бизнес-группа первой вышла на операционную окупаемость на маркетплейсе. Эксперт призвал всех, кто собирается развивать бизнес на онлайн-площадках, в первую очередь обратить внимание на три важных шага: провести анализ своего продукта, оценить конкурентность и обязательно сравнить тарифы на всех маркетплейсах, которые рассматриваются для запуска.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 то, как выстраивать производственные циклы под системы продаж для клиентов на маркетплейса, повысить лояльность покупателей и добиться положительных отзывов, а также о ценообразовании на примере «математики» формирования среднего чека на женское белье рассказала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владелец бренда BÜBA андервир, амбассадор маркетплейса Youmake Диана Зарубина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Подробно остановился на финансовых вопросах в своем выступлении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Владислав Бокун, руководитель продукта АО «ТИНЬКОФФ БАНК»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 Эксперт отметил тренд повышения доли переводов в юанях в Китай, который с февраля этого года до сегодняшнего дня превысил уже 60% и не теряет тенденции к росту. В то время как долларовые переводы строго контролируются европейскими банками – здесь более жесткие санкционный надзор и комплаенс-требования. Европейские банки ставят все платежи российских банков на ручную проверку, что замедляет и осложняет бизнес-процессы. Поэтому рекомендация от эксперта: переходить на расчеты в юанях. 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Безусловный тренд, который уже оценили многие предприниматели, и о чем также говорили на форуме, это обширный пул различных инструментов для продвижения участников бизнеса. «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На нашей площадке для продавцов доступны два типа кампании по продвижению: реклама товаров в результатах поиска и в карточках товаров, а также медийная реклама в формате баннеров и видеороликов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», - рассказала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менеджер по улучшению клиентского опыта Ozon Global Екатерина Желтова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 Она также поделилась, какие и почему категории товаров растут более динамично и дала практические советы, как организовать продажи на российском рынке без открытия юридического лица в России и прямо со склада в Китае.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Разбором ключевых ошибок при продвижении бизнеса на маркетплейсах завершилась финальная сессия форума. Уметь договариваться с поставщиками и просчитывать риски – основные навыки, без которых, по мнению спикеров, новичкам приходится очень тяжело. Между тем, эксперты единодушно сошлись во мнении, что за последние пару лет на рынке онлайн-торговли произошел качественный рывок. Пандемия и последующие события глобально изменили модель потребления, сократив дистанцию между поставщиком и потребителем, о чем свидетельствует динамика покупок, которые делают россияне на маркетплейсах. При этом демонстрируется большая лояльность российских потребителей к китайским товарам. 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Об этом говорит уже тот факт, что за дни работы выставки ее посетило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более 6000 человек.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«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Китай занимает позицию главного торгового партнера России 12 лет подряд. И, несмотря на изменчивость ситуации с пандемией и другие вызовы, которые переживают страны, российско-китайские торговые взаимоотношения демонстрируют серьезную устойчивость и эндогенный импульс, двигаясь против течения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», - подчеркнул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министр экономики и коммерции Посольства Китая в Российской Федерации-н Лю Сюэсун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выражая надежду, что выставка и форум станут дополнительным стимулом для развития торговли между странами и достижения объема товарооборота в 200 млрд долл. США.</w:t>
            </w:r>
          </w:p>
        </w:tc>
        <w:tc>
          <w:tcPr>
            <w:gridSpan w:val="2"/>
            <w:tcBorders>
              <w:bottom w:color="000000" w:space="0" w:sz="0" w:val="nil"/>
            </w:tcBorders>
            <w:tcMar>
              <w:top w:w="0.0" w:type="dxa"/>
            </w:tcMar>
          </w:tcPr>
          <w:p w:rsidR="00000000" w:rsidDel="00000000" w:rsidP="00000000" w:rsidRDefault="00000000" w:rsidRPr="00000000" w14:paraId="0000003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3dy6vkm" w:id="6"/>
    <w:bookmarkEnd w:id="6"/>
    <w:bookmarkStart w:colFirst="0" w:colLast="0" w:name="bookmark=id.1t3h5sf" w:id="7"/>
    <w:bookmarkEnd w:id="7"/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5842" w:w="12242" w:orient="portrait"/>
      <w:pgMar w:bottom="993" w:top="2467" w:left="1276" w:right="3311" w:header="170" w:footer="4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071"/>
      </w:tabs>
      <w:spacing w:line="240" w:lineRule="auto"/>
      <w:rPr>
        <w:color w:val="000000"/>
        <w:sz w:val="12"/>
        <w:szCs w:val="1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071"/>
      </w:tabs>
      <w:spacing w:line="240" w:lineRule="auto"/>
      <w:rPr>
        <w:color w:val="000000"/>
        <w:sz w:val="12"/>
        <w:szCs w:val="1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spacing w:line="240" w:lineRule="auto"/>
      <w:rPr/>
    </w:pPr>
    <w:r w:rsidDel="00000000" w:rsidR="00000000" w:rsidRPr="00000000">
      <w:rPr>
        <w:rtl w:val="0"/>
      </w:rPr>
    </w:r>
  </w:p>
  <w:tbl>
    <w:tblPr>
      <w:tblStyle w:val="Table2"/>
      <w:tblW w:w="10455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0455"/>
      <w:tblGridChange w:id="0">
        <w:tblGrid>
          <w:gridCol w:w="10455"/>
        </w:tblGrid>
      </w:tblGridChange>
    </w:tblGrid>
    <w:tr>
      <w:trPr>
        <w:cantSplit w:val="0"/>
        <w:trHeight w:val="1980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41">
          <w:pPr>
            <w:tabs>
              <w:tab w:val="left" w:pos="4138"/>
            </w:tabs>
            <w:spacing w:line="240" w:lineRule="auto"/>
            <w:ind w:right="390"/>
            <w:jc w:val="right"/>
            <w:rPr>
              <w:b w:val="1"/>
              <w:sz w:val="28"/>
              <w:szCs w:val="28"/>
            </w:rPr>
          </w:pPr>
          <w:r w:rsidDel="00000000" w:rsidR="00000000" w:rsidRPr="00000000">
            <w:rPr/>
            <w:drawing>
              <wp:inline distB="0" distT="0" distL="0" distR="0">
                <wp:extent cx="1890676" cy="1260475"/>
                <wp:effectExtent b="0" l="0" r="0" t="0"/>
                <wp:docPr id="18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15651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0676" cy="12604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  <w:t xml:space="preserve">         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0" distR="0" hidden="0" layoutInCell="1" locked="0" relativeHeight="0" simplePos="0">
                    <wp:simplePos x="0" y="0"/>
                    <wp:positionH relativeFrom="column">
                      <wp:posOffset>4648200</wp:posOffset>
                    </wp:positionH>
                    <wp:positionV relativeFrom="paragraph">
                      <wp:posOffset>723900</wp:posOffset>
                    </wp:positionV>
                    <wp:extent cx="2119630" cy="559435"/>
                    <wp:effectExtent b="0" l="0" r="0" t="0"/>
                    <wp:wrapSquare wrapText="bothSides" distB="0" distT="0" distL="0" distR="0"/>
                    <wp:docPr id="16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4295710" y="3509808"/>
                              <a:ext cx="2100580" cy="540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9.0000057220459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-------------------------------------------------------------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0" distR="0" hidden="0" layoutInCell="1" locked="0" relativeHeight="0" simplePos="0">
                    <wp:simplePos x="0" y="0"/>
                    <wp:positionH relativeFrom="column">
                      <wp:posOffset>4648200</wp:posOffset>
                    </wp:positionH>
                    <wp:positionV relativeFrom="paragraph">
                      <wp:posOffset>723900</wp:posOffset>
                    </wp:positionV>
                    <wp:extent cx="2119630" cy="559435"/>
                    <wp:effectExtent b="0" l="0" r="0" t="0"/>
                    <wp:wrapSquare wrapText="bothSides" distB="0" distT="0" distL="0" distR="0"/>
                    <wp:docPr id="16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19630" cy="55943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</w:tbl>
  <w:p w:rsidR="00000000" w:rsidDel="00000000" w:rsidP="00000000" w:rsidRDefault="00000000" w:rsidRPr="00000000" w14:paraId="00000042">
    <w:pPr>
      <w:spacing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pos="9639"/>
      </w:tabs>
      <w:spacing w:line="240" w:lineRule="auto"/>
      <w:ind w:right="-142"/>
      <w:rPr>
        <w:color w:val="000000"/>
        <w:sz w:val="15"/>
        <w:szCs w:val="15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pos="9639"/>
      </w:tabs>
      <w:spacing w:line="240" w:lineRule="auto"/>
      <w:jc w:val="right"/>
      <w:rPr>
        <w:color w:val="000000"/>
        <w:sz w:val="15"/>
        <w:szCs w:val="15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3968"/>
        <w:tab w:val="left" w:pos="6396"/>
        <w:tab w:val="right" w:pos="9639"/>
        <w:tab w:val="right" w:pos="10065"/>
      </w:tabs>
      <w:spacing w:line="240" w:lineRule="auto"/>
      <w:ind w:right="-2989"/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22052</wp:posOffset>
          </wp:positionV>
          <wp:extent cx="1412875" cy="704215"/>
          <wp:effectExtent b="0" l="0" r="0" t="0"/>
          <wp:wrapSquare wrapText="bothSides" distB="0" distT="0" distL="114300" distR="114300"/>
          <wp:docPr descr="S:\_Fairs Russia\CCF 2019\Design\Logos\ICF Logo\ICF Logo Blue.png" id="17" name="image2.png"/>
          <a:graphic>
            <a:graphicData uri="http://schemas.openxmlformats.org/drawingml/2006/picture">
              <pic:pic>
                <pic:nvPicPr>
                  <pic:cNvPr descr="S:\_Fairs Russia\CCF 2019\Design\Logos\ICF Logo\ICF Logo Blue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2875" cy="7042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widowControl w:val="0"/>
        <w:spacing w:line="2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520" w:lineRule="auto"/>
      <w:ind w:left="-28"/>
    </w:pPr>
    <w:rPr>
      <w:sz w:val="52"/>
      <w:szCs w:val="5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rsid w:val="00E4368D"/>
    <w:pPr>
      <w:widowControl w:val="0"/>
      <w:spacing w:after="0" w:line="280" w:lineRule="auto"/>
    </w:pPr>
    <w:rPr>
      <w:rFonts w:ascii="Arial" w:cs="Arial" w:eastAsia="Arial" w:hAnsi="Arial"/>
      <w:lang w:eastAsia="ru-RU"/>
    </w:rPr>
  </w:style>
  <w:style w:type="paragraph" w:styleId="1">
    <w:name w:val="heading 1"/>
    <w:basedOn w:val="a"/>
    <w:next w:val="a"/>
    <w:link w:val="10"/>
    <w:rsid w:val="00E4368D"/>
    <w:pPr>
      <w:spacing w:line="520" w:lineRule="auto"/>
      <w:ind w:left="-28"/>
      <w:outlineLvl w:val="0"/>
    </w:pPr>
    <w:rPr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B43DCD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rsid w:val="00E4368D"/>
    <w:rPr>
      <w:rFonts w:ascii="Arial" w:cs="Arial" w:eastAsia="Arial" w:hAnsi="Arial"/>
      <w:sz w:val="52"/>
      <w:szCs w:val="52"/>
      <w:lang w:eastAsia="ru-RU"/>
    </w:rPr>
  </w:style>
  <w:style w:type="character" w:styleId="a3">
    <w:name w:val="Hyperlink"/>
    <w:basedOn w:val="a0"/>
    <w:uiPriority w:val="99"/>
    <w:unhideWhenUsed w:val="1"/>
    <w:rsid w:val="00E4368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 w:val="1"/>
    <w:rsid w:val="00E4368D"/>
    <w:pPr>
      <w:ind w:left="720"/>
      <w:contextualSpacing w:val="1"/>
    </w:pPr>
  </w:style>
  <w:style w:type="character" w:styleId="30" w:customStyle="1">
    <w:name w:val="Заголовок 3 Знак"/>
    <w:basedOn w:val="a0"/>
    <w:link w:val="3"/>
    <w:uiPriority w:val="9"/>
    <w:semiHidden w:val="1"/>
    <w:rsid w:val="00B43DCD"/>
    <w:rPr>
      <w:rFonts w:asciiTheme="majorHAnsi" w:cstheme="majorBidi" w:eastAsiaTheme="majorEastAsia" w:hAnsiTheme="majorHAnsi"/>
      <w:color w:val="1f4d78" w:themeColor="accent1" w:themeShade="00007F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 w:val="1"/>
    <w:rsid w:val="00754523"/>
    <w:pPr>
      <w:tabs>
        <w:tab w:val="center" w:pos="4677"/>
        <w:tab w:val="right" w:pos="9355"/>
      </w:tabs>
      <w:spacing w:line="240" w:lineRule="auto"/>
    </w:pPr>
  </w:style>
  <w:style w:type="character" w:styleId="a6" w:customStyle="1">
    <w:name w:val="Верхний колонтитул Знак"/>
    <w:basedOn w:val="a0"/>
    <w:link w:val="a5"/>
    <w:uiPriority w:val="99"/>
    <w:rsid w:val="00754523"/>
    <w:rPr>
      <w:rFonts w:ascii="Arial" w:cs="Arial" w:eastAsia="Arial" w:hAnsi="Arial"/>
      <w:lang w:eastAsia="ru-RU"/>
    </w:rPr>
  </w:style>
  <w:style w:type="paragraph" w:styleId="a7">
    <w:name w:val="footer"/>
    <w:basedOn w:val="a"/>
    <w:link w:val="a8"/>
    <w:uiPriority w:val="99"/>
    <w:unhideWhenUsed w:val="1"/>
    <w:rsid w:val="00754523"/>
    <w:pPr>
      <w:tabs>
        <w:tab w:val="center" w:pos="4677"/>
        <w:tab w:val="right" w:pos="9355"/>
      </w:tabs>
      <w:spacing w:line="240" w:lineRule="auto"/>
    </w:pPr>
  </w:style>
  <w:style w:type="character" w:styleId="a8" w:customStyle="1">
    <w:name w:val="Нижний колонтитул Знак"/>
    <w:basedOn w:val="a0"/>
    <w:link w:val="a7"/>
    <w:uiPriority w:val="99"/>
    <w:rsid w:val="00754523"/>
    <w:rPr>
      <w:rFonts w:ascii="Arial" w:cs="Arial" w:eastAsia="Arial" w:hAnsi="Arial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cf-expo.ru/?utm_source=partners&amp;utm_medium=referral&amp;utm_campaign=icf_22_postreleas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icf-expo.ru/?utm_source=amart&amp;utm_medium=release&amp;utm_campaign=amart_march" TargetMode="External"/><Relationship Id="rId8" Type="http://schemas.openxmlformats.org/officeDocument/2006/relationships/hyperlink" Target="http://www.icf-expo.r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d98VHzqka8N7e+hyNPQ558LXxg==">AMUW2mVYDVEYCxV55/KeEKn3uKrrXK7hTdu8aZC02MPvyjFygYJfJaOAX0PgpOmD/LpHq4sh5nY3R6hk/5pz/XEloOXY5WMwjTqsEbFa6O7XAnDTLFiL7lG/BjHKY/jrF92RevU0Veg2tAJX96gnrlCbaLsfDbujGaPOKFsHx5qsRiLMQ+rjK2qvhvg9PQTCQJ5iewgoKTmvWv/BprDSeJ4gqt5uc8s2ip8+sRxqM3MfUIr0h/3JZ3Y=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2022-10-26T08:06:00Z</dcterms:created>
  <dc:creator>UserBMR3</dc:creator>
</cp:coreProperties>
</file>