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3.0" w:type="dxa"/>
        <w:jc w:val="left"/>
        <w:tblInd w:w="-284.0" w:type="dxa"/>
        <w:tblLayout w:type="fixed"/>
        <w:tblLook w:val="0000"/>
      </w:tblPr>
      <w:tblGrid>
        <w:gridCol w:w="8931"/>
        <w:gridCol w:w="2119"/>
        <w:gridCol w:w="23"/>
        <w:tblGridChange w:id="0">
          <w:tblGrid>
            <w:gridCol w:w="8931"/>
            <w:gridCol w:w="2119"/>
            <w:gridCol w:w="23"/>
          </w:tblGrid>
        </w:tblGridChange>
      </w:tblGrid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Heading1"/>
              <w:ind w:hanging="28"/>
              <w:rPr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Пресс-релиз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59"/>
              </w:tabs>
              <w:spacing w:before="220" w:line="250" w:lineRule="auto"/>
              <w:ind w:right="569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Октябрь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Международная выставка потребительских товаров</w:t>
            </w:r>
          </w:p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International Commodity Fair 2022</w:t>
            </w:r>
          </w:p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Павильон № 8, ЦВК «Экспоцентр», Москва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 – 26 октября 2022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www.icf-expo.ru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</w:tcMar>
          </w:tcPr>
          <w:p w:rsidR="00000000" w:rsidDel="00000000" w:rsidP="00000000" w:rsidRDefault="00000000" w:rsidRPr="00000000" w14:paraId="0000000A">
            <w:pPr>
              <w:tabs>
                <w:tab w:val="left" w:pos="567"/>
              </w:tabs>
              <w:spacing w:before="70" w:line="240" w:lineRule="auto"/>
              <w:rPr>
                <w:color w:val="ff0000"/>
                <w:sz w:val="15"/>
                <w:szCs w:val="15"/>
              </w:rPr>
            </w:pPr>
            <w:r w:rsidDel="00000000" w:rsidR="00000000" w:rsidRPr="00000000">
              <w:rPr>
                <w:color w:val="0000ff"/>
                <w:sz w:val="15"/>
                <w:szCs w:val="15"/>
                <w:u w:val="single"/>
                <w:rtl w:val="0"/>
              </w:rPr>
              <w:t xml:space="preserve">info@icf-expo.ru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30j0zll" w:id="0"/>
          <w:bookmarkEnd w:id="0"/>
          <w:bookmarkStart w:colFirst="0" w:colLast="0" w:name="bookmark=id.gjdgxs" w:id="1"/>
          <w:bookmarkEnd w:id="1"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40"/>
                <w:tab w:val="left" w:pos="1928"/>
                <w:tab w:val="left" w:pos="2268"/>
              </w:tabs>
              <w:spacing w:line="24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color w:val="000000"/>
                <w:sz w:val="15"/>
                <w:szCs w:val="15"/>
                <w:rtl w:val="0"/>
              </w:rPr>
              <w:t xml:space="preserve">Tel.</w:t>
              <w:tab/>
            </w:r>
            <w:bookmarkStart w:colFirst="0" w:colLast="0" w:name="bookmark=id.1fob9te" w:id="2"/>
            <w:bookmarkEnd w:id="2"/>
            <w:bookmarkStart w:colFirst="0" w:colLast="0" w:name="bookmark=id.3znysh7" w:id="3"/>
            <w:bookmarkEnd w:id="3"/>
            <w:r w:rsidDel="00000000" w:rsidR="00000000" w:rsidRPr="00000000">
              <w:rPr>
                <w:color w:val="000000"/>
                <w:sz w:val="15"/>
                <w:szCs w:val="15"/>
                <w:rtl w:val="0"/>
              </w:rPr>
              <w:t xml:space="preserve">+7 495 649 69 11, доб. 121</w:t>
            </w:r>
          </w:p>
          <w:bookmarkStart w:colFirst="0" w:colLast="0" w:name="bookmark=id.2et92p0" w:id="4"/>
          <w:bookmarkEnd w:id="4"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639"/>
              </w:tabs>
              <w:spacing w:line="240" w:lineRule="auto"/>
              <w:rPr>
                <w:color w:val="000000"/>
                <w:sz w:val="15"/>
                <w:szCs w:val="15"/>
              </w:rPr>
            </w:pPr>
            <w:hyperlink r:id="rId8">
              <w:r w:rsidDel="00000000" w:rsidR="00000000" w:rsidRPr="00000000">
                <w:rPr>
                  <w:color w:val="0000ff"/>
                  <w:sz w:val="15"/>
                  <w:szCs w:val="15"/>
                  <w:u w:val="single"/>
                  <w:rtl w:val="0"/>
                </w:rPr>
                <w:t xml:space="preserve">www.icf-expo.ru</w:t>
              </w:r>
            </w:hyperlink>
            <w:r w:rsidDel="00000000" w:rsidR="00000000" w:rsidRPr="00000000">
              <w:rPr>
                <w:color w:val="000000"/>
                <w:sz w:val="15"/>
                <w:szCs w:val="1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639"/>
              </w:tabs>
              <w:spacing w:line="240" w:lineRule="auto"/>
              <w:rPr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color w:val="000000"/>
                <w:sz w:val="15"/>
                <w:szCs w:val="15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639"/>
              </w:tabs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bottom w:color="000000" w:space="0" w:sz="0" w:val="nil"/>
            </w:tcBorders>
            <w:tcMar>
              <w:top w:w="0.0" w:type="dxa"/>
            </w:tcMar>
          </w:tcPr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br w:type="textWrapping"/>
              <w:t xml:space="preserve">Бизнес между Россией и Китаем: так ли перспективен, как говорят?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Если коротко, то – да. Глобально говоря, товарооборот между Россией и Китаем вырос на 31,4% и уже сейчас, за неполный год, составил 117 млрд долл. США.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Такие цифры были озвучены во время открытия Бренд-Зоны китайских предприятий 24 - 25 октября в рамках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Международной выставки потребительских товаров </w:t>
            </w:r>
            <w:hyperlink r:id="rId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International Commodity Fair 2022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, которая проходит в ЦВК «Экспоцентр» в Москве. Производители, поставщики, селлеры и руководители профильных организаций, включая представителей органов власти, обсудили вызовы и перспективы торговых взаимоотношений между Россией и Китаем в сложившихся геополитических и экономических условиях.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sz w:val="20"/>
                <w:szCs w:val="20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sz w:val="20"/>
                <w:szCs w:val="20"/>
                <w:rtl w:val="0"/>
              </w:rPr>
              <w:t xml:space="preserve">Мероприятие организовано при содействии Министерства коммерции КНР, Департамента развития торговли, Китайской торговой палаты по импорту и экспорту машинно-технической продукции и электроники и торговых комитетов провинций Китая. А также при участии Торгово-промышленной палаты России.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Торговые вызовы в цифрах и трендах: экспорт технологичной продукции в Россию вырос на 50%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выставке приняли участие свыше 200 китайских брендов, включая технологичные компании и производителей бытовой техники и потребительской электроники. Как заявил в своей приветственной речи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министр экономики и коммерции Посольства КНР в РФ г-н Лю Сюэсун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впервые в истории объем российско-китайской торговли преодолел отметку в $100 млрд за неполные первые три квартала года, достигнув $117 млрд, что на 31,4% больше по сравнению с аналогичным периодом в 2021 году. И это несмотря на разного рода ограничения бизнеса в связи с пандемией, а также геополитические события.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частности, китайский экспорт технологичной продукции в Россию вырос на 50%, в том числе стремительный рост показал экспорт кондиционеров и бытовой техники. Например, в последние годы в России резко выросли продажи бытовой техники известных китайских брендов – таких, как Haier, Huawei, Xiaomi и др.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самой выставке в этом году посетителей радуют экспозиции новейших моделей роботов-пылесосов, а также аналогов популярных фенов Dyson, которые демонстрирует компания Dreame Technologies. Невозможно пройти мимо экспозиции бытовой техники с ярким дизайном от Cixi Gstar Electric Appliance и робота-мойщика окон, представленного компанией AVALON. 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Кстати, любопытно, что в отличие от китайского рынка последний пока не очень распространен в России. Не исключено, что благодаря широкой презентации возможностей этого гаджета на выставке российский потребитель оценит его функциональность.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Также на площадке представлено несколько сервисных компаний, готовых оказать содействие бизнесу в продвижении товаров и работой с Китаем – b2basket, Maed, банк Точка, MarketPapa, JoomPro.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То, что пандемийные годы и новые вызовы в текущем году отразились на распределении сил на внутреннем рынке России, отметили все эксперты, выступая как в рамках торжественной части, так и затем в деловой программе.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этом смысле актуально прозвучали слова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вице-президента Торгово-промышленной палаты России Владимира Падалко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о том, что сам факт проведения ежегодной выставки с Китаем имеет важное положительное значение для рынка. С одной стороны, мероприятие повышает репутацию китайских брендов, тут же стимулируя спрос российского потребителя на их продукцию. С другой стороны, происходит мотивация китайских производителей к новаторству. Все вместе работает на укрепление сотрудничества китайских и российских предприятий, уверен эксперт.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Воодушевление отечественного бизнеса на внутреннем рынке, чему способствовал уход из России ведущих европейских брендов, отметил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генеральный менеджер Galanz Россия Станислав Пугачев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И привел в пример возросший интерес к производству бытовой техники со стороны многих игроков после того, как эту нишу освободил один из известных немецких производителей посудомоечных машин. «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Освободилось почти 40% рынка, и многие компании планируют развиваться в этом направлении именно в сотрудничестве с Китаем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», - прокомментировал представитель Galanz. 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 шаги и ошибки в бизнесе: переходите на юани и просчитывайте риски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Подробно обсудить вопросы того, как эффективно выстраивать бизнес в текущих условиях, и каким образом маркетплейсы помогают увеличивать продажи, гости выставки смогли здесь же, в ходе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Российско-Китайского форума «Бизнес с Китаем: маркетплейсы и новые реалии»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который состоялся 25 октября. 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Большой отклик у слушателей вызвал рассказ о запуске с нуля направления «Товары для дома», которым поделился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руководитель бизнес-группы «Товары длительного пользования» в маркетплейсе СберМегаМаркет Иван Бугай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Под его руководством бизнес-группа первой вышла на операционную окупаемость на маркетплейсе. Эксперт призвал всех, кто собирается развивать бизнес на онлайн-площадках, в первую очередь обратить внимание на три важных шага: провести анализ своего продукта, оценить конкурентность и обязательно сравнить тарифы на всех маркетплейсах, которые рассматриваются для запуска.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 то, как выстраивать производственные циклы под системы продаж для клиентов на маркетплейса, повысить лояльность покупателей и добиться положительных отзывов, а также о ценообразовании на примере «математики» формирования среднего чека на женское белье рассказала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владелец бренда BÜBA андервир, амбассадор маркетплейса Youmake Диана Зарубина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Подробно остановился на финансовых вопросах в своем выступлении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Владислав Бокун, руководитель продукта АО «ТИНЬКОФФ БАНК»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Эксперт отметил тренд повышения доли переводов в юанях в Китай, который с февраля этого года до сегодняшнего дня превысил уже 60% и не теряет тенденции к росту. В то время как долларовые переводы строго контролируются европейскими банками – здесь более жесткие санкционный надзор и комплаенс-требования. Европейские банки ставят все платежи российских банков на ручную проверку, что замедляет и осложняет бизнес-процессы. Поэтому рекомендация от эксперта: переходить на расчеты в юанях. 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Безусловный тренд, который уже оценили многие предприниматели, и о чем также говорили на форуме, это обширный пул различных инструментов для продвижения участников бизнеса. «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На нашей площадке для продавцов доступны два типа кампании по продвижению: реклама товаров в результатах поиска и в карточках товаров, а также медийная реклама в формате баннеров и видеороликов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», - рассказала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менеджер по улучшению клиентского опыта Ozon Global Екатерина Желтова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Она также поделилась, какие и почему категории товаров растут более динамично и дала практические советы, как организовать продажи на российском рынке без открытия юридического лица в России и прямо со склада в Китае.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Разбором ключевых ошибок при продвижении бизнеса на маркетплейсах завершилась финальная сессия форума. Уметь договариваться с поставщиками и просчитывать риски – основные навыки, без которых, по мнению спикеров, новичкам приходится очень тяжело. Между тем, эксперты единодушно сошлись во мнении, что за последние пару лет на рынке онлайн-торговли произошел качественный рывок. Пандемия и последующие события глобально изменили модель потребления, сократив дистанцию между поставщиком и потребителем, о чем свидетельствует динамика покупок, которые делают россияне на маркетплейсах. При этом демонстрируется большая лояльность российских потребителей к китайским товарам. 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 этом говорит уже тот факт, что за дни работы выставки ее посетило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более 6000 человек.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Китай занимает позицию главного торгового партнера России 12 лет подряд. И, несмотря на изменчивость ситуации с пандемией и другие вызовы, которые переживают страны, российско-китайские торговые взаимоотношения демонстрируют серьезную устойчивость и эндогенный импульс, двигаясь против течения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», - подчеркнул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министр экономики и коммерции Посольства Китая в Российской Федерации-н Лю Сюэсун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выражая надежду, что выставка и форум станут дополнительным стимулом для развития торговли между странами и достижения объема товарооборота в 200 млрд долл. США.</w:t>
            </w:r>
          </w:p>
        </w:tc>
        <w:tc>
          <w:tcPr>
            <w:gridSpan w:val="2"/>
            <w:tcBorders>
              <w:bottom w:color="000000" w:space="0" w:sz="0" w:val="nil"/>
            </w:tcBorders>
            <w:tcMar>
              <w:top w:w="0.0" w:type="dxa"/>
            </w:tcMar>
          </w:tcPr>
          <w:p w:rsidR="00000000" w:rsidDel="00000000" w:rsidP="00000000" w:rsidRDefault="00000000" w:rsidRPr="00000000" w14:paraId="0000003C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3dy6vkm" w:id="6"/>
    <w:bookmarkEnd w:id="6"/>
    <w:bookmarkStart w:colFirst="0" w:colLast="0" w:name="bookmark=id.1t3h5sf" w:id="7"/>
    <w:bookmarkEnd w:id="7"/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2" w:w="12242" w:orient="portrait"/>
      <w:pgMar w:bottom="993" w:top="2467" w:left="1276" w:right="3311" w:header="170" w:footer="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071"/>
      </w:tabs>
      <w:spacing w:line="240" w:lineRule="auto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071"/>
      </w:tabs>
      <w:spacing w:line="240" w:lineRule="auto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line="240" w:lineRule="auto"/>
      <w:rPr/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980" w:hRule="atLeast"/>
        <w:tblHeader w:val="0"/>
      </w:trPr>
      <w:tc>
        <w:tcPr>
          <w:vAlign w:val="bottom"/>
        </w:tcPr>
        <w:p w:rsidR="00000000" w:rsidDel="00000000" w:rsidP="00000000" w:rsidRDefault="00000000" w:rsidRPr="00000000" w14:paraId="00000041">
          <w:pPr>
            <w:tabs>
              <w:tab w:val="left" w:pos="4138"/>
            </w:tabs>
            <w:spacing w:line="240" w:lineRule="auto"/>
            <w:ind w:right="390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/>
            <w:drawing>
              <wp:inline distB="0" distT="0" distL="0" distR="0">
                <wp:extent cx="1890676" cy="1260475"/>
                <wp:effectExtent b="0" l="0" r="0" t="0"/>
                <wp:docPr id="18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15651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676" cy="1260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  <w:t xml:space="preserve">        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4648200</wp:posOffset>
                    </wp:positionH>
                    <wp:positionV relativeFrom="paragraph">
                      <wp:posOffset>723900</wp:posOffset>
                    </wp:positionV>
                    <wp:extent cx="2119630" cy="559435"/>
                    <wp:effectExtent b="0" l="0" r="0" t="0"/>
                    <wp:wrapSquare wrapText="bothSides" distB="0" distT="0" distL="0" distR="0"/>
                    <wp:docPr id="16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295710" y="3509808"/>
                              <a:ext cx="2100580" cy="540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9.0000057220459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-------------------------------------------------------------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4648200</wp:posOffset>
                    </wp:positionH>
                    <wp:positionV relativeFrom="paragraph">
                      <wp:posOffset>723900</wp:posOffset>
                    </wp:positionV>
                    <wp:extent cx="2119630" cy="559435"/>
                    <wp:effectExtent b="0" l="0" r="0" t="0"/>
                    <wp:wrapSquare wrapText="bothSides" distB="0" distT="0" distL="0" distR="0"/>
                    <wp:docPr id="16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19630" cy="5594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:rsidR="00000000" w:rsidDel="00000000" w:rsidP="00000000" w:rsidRDefault="00000000" w:rsidRPr="00000000" w14:paraId="00000042">
    <w:pPr>
      <w:spacing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9"/>
      </w:tabs>
      <w:spacing w:line="240" w:lineRule="auto"/>
      <w:ind w:right="-142"/>
      <w:rPr>
        <w:color w:val="000000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9"/>
      </w:tabs>
      <w:spacing w:line="240" w:lineRule="auto"/>
      <w:jc w:val="right"/>
      <w:rPr>
        <w:color w:val="000000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68"/>
        <w:tab w:val="left" w:pos="6396"/>
        <w:tab w:val="right" w:pos="9639"/>
        <w:tab w:val="right" w:pos="10065"/>
      </w:tabs>
      <w:spacing w:line="240" w:lineRule="auto"/>
      <w:ind w:right="-2989"/>
      <w:jc w:val="righ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22052</wp:posOffset>
          </wp:positionV>
          <wp:extent cx="1412875" cy="704215"/>
          <wp:effectExtent b="0" l="0" r="0" t="0"/>
          <wp:wrapSquare wrapText="bothSides" distB="0" distT="0" distL="114300" distR="114300"/>
          <wp:docPr descr="S:\_Fairs Russia\CCF 2019\Design\Logos\ICF Logo\ICF Logo Blue.png" id="17" name="image2.png"/>
          <a:graphic>
            <a:graphicData uri="http://schemas.openxmlformats.org/drawingml/2006/picture">
              <pic:pic>
                <pic:nvPicPr>
                  <pic:cNvPr descr="S:\_Fairs Russia\CCF 2019\Design\Logos\ICF Logo\ICF Logo Blue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2875" cy="7042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widowControl w:val="0"/>
        <w:spacing w:line="2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520" w:lineRule="auto"/>
      <w:ind w:left="-28"/>
    </w:pPr>
    <w:rPr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E4368D"/>
    <w:pPr>
      <w:widowControl w:val="0"/>
      <w:spacing w:after="0" w:line="280" w:lineRule="auto"/>
    </w:pPr>
    <w:rPr>
      <w:rFonts w:ascii="Arial" w:cs="Arial" w:eastAsia="Arial" w:hAnsi="Arial"/>
      <w:lang w:eastAsia="ru-RU"/>
    </w:rPr>
  </w:style>
  <w:style w:type="paragraph" w:styleId="1">
    <w:name w:val="heading 1"/>
    <w:basedOn w:val="a"/>
    <w:next w:val="a"/>
    <w:link w:val="10"/>
    <w:rsid w:val="00E4368D"/>
    <w:pPr>
      <w:spacing w:line="520" w:lineRule="auto"/>
      <w:ind w:left="-28"/>
      <w:outlineLvl w:val="0"/>
    </w:pPr>
    <w:rPr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B43DCD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E4368D"/>
    <w:rPr>
      <w:rFonts w:ascii="Arial" w:cs="Arial" w:eastAsia="Arial" w:hAnsi="Arial"/>
      <w:sz w:val="52"/>
      <w:szCs w:val="52"/>
      <w:lang w:eastAsia="ru-RU"/>
    </w:rPr>
  </w:style>
  <w:style w:type="character" w:styleId="a3">
    <w:name w:val="Hyperlink"/>
    <w:basedOn w:val="a0"/>
    <w:uiPriority w:val="99"/>
    <w:unhideWhenUsed w:val="1"/>
    <w:rsid w:val="00E436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 w:val="1"/>
    <w:rsid w:val="00E4368D"/>
    <w:pPr>
      <w:ind w:left="720"/>
      <w:contextualSpacing w:val="1"/>
    </w:pPr>
  </w:style>
  <w:style w:type="character" w:styleId="30" w:customStyle="1">
    <w:name w:val="Заголовок 3 Знак"/>
    <w:basedOn w:val="a0"/>
    <w:link w:val="3"/>
    <w:uiPriority w:val="9"/>
    <w:semiHidden w:val="1"/>
    <w:rsid w:val="00B43DCD"/>
    <w:rPr>
      <w:rFonts w:asciiTheme="majorHAnsi" w:cstheme="majorBidi" w:eastAsiaTheme="majorEastAsia" w:hAnsiTheme="majorHAnsi"/>
      <w:color w:val="1f4d78" w:themeColor="accent1" w:themeShade="00007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 w:val="1"/>
    <w:rsid w:val="00754523"/>
    <w:pPr>
      <w:tabs>
        <w:tab w:val="center" w:pos="4677"/>
        <w:tab w:val="right" w:pos="9355"/>
      </w:tabs>
      <w:spacing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754523"/>
    <w:rPr>
      <w:rFonts w:ascii="Arial" w:cs="Arial" w:eastAsia="Arial" w:hAnsi="Arial"/>
      <w:lang w:eastAsia="ru-RU"/>
    </w:rPr>
  </w:style>
  <w:style w:type="paragraph" w:styleId="a7">
    <w:name w:val="footer"/>
    <w:basedOn w:val="a"/>
    <w:link w:val="a8"/>
    <w:uiPriority w:val="99"/>
    <w:unhideWhenUsed w:val="1"/>
    <w:rsid w:val="00754523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754523"/>
    <w:rPr>
      <w:rFonts w:ascii="Arial" w:cs="Arial" w:eastAsia="Arial" w:hAnsi="Arial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cf-expo.ru/?utm_source=partners&amp;utm_medium=referral&amp;utm_campaign=icf_22_postreleas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cf-expo.ru/?utm_source=amart&amp;utm_medium=release&amp;utm_campaign=amart_march" TargetMode="External"/><Relationship Id="rId8" Type="http://schemas.openxmlformats.org/officeDocument/2006/relationships/hyperlink" Target="http://www.icf-expo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98VHzqka8N7e+hyNPQ558LXxg==">AMUW2mVYDVEYCxV55/KeEKn3uKrrXK7hTdu8aZC02MPvyjFygYJfJaOAX0PgpOmD/LpHq4sh5nY3R6hk/5pz/XEloOXY5WMwjTqsEbFa6O7XAnDTLFiL7lG/BjHKY/jrF92RevU0Veg2tAJX96gnrlCbaLsfDbujGaPOKFsHx5qsRiLMQ+rjK2qvhvg9PQTCQJ5iewgoKTmvWv/BprDSeJ4gqt5uc8s2ip8+sRxqM3MfUIr0h/3JZ3Y=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2022-10-26T08:06:00Z</dcterms:created>
  <dc:creator>UserBMR3</dc:creator>
</cp:coreProperties>
</file>